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3D0B" w14:textId="555D4B51" w:rsidR="00F24CC9" w:rsidRPr="00F56584" w:rsidRDefault="00A93FC2" w:rsidP="00A93FC2">
      <w:pPr>
        <w:pStyle w:val="Headline"/>
        <w:ind w:left="720"/>
        <w:rPr>
          <w:sz w:val="36"/>
          <w:szCs w:val="36"/>
        </w:rPr>
      </w:pPr>
      <w:r w:rsidRPr="00F56584">
        <w:rPr>
          <w:sz w:val="36"/>
          <w:szCs w:val="36"/>
        </w:rPr>
        <w:drawing>
          <wp:anchor distT="0" distB="0" distL="114300" distR="114300" simplePos="0" relativeHeight="251659264" behindDoc="1" locked="0" layoutInCell="1" allowOverlap="1" wp14:anchorId="14907768" wp14:editId="054197F8">
            <wp:simplePos x="0" y="0"/>
            <wp:positionH relativeFrom="column">
              <wp:posOffset>-511124</wp:posOffset>
            </wp:positionH>
            <wp:positionV relativeFrom="paragraph">
              <wp:posOffset>-1829</wp:posOffset>
            </wp:positionV>
            <wp:extent cx="921385" cy="2933395"/>
            <wp:effectExtent l="0" t="0" r="0" b="635"/>
            <wp:wrapNone/>
            <wp:docPr id="1" name="Picture 1" descr="C:\Users\mirh\AppData\Roaming\OpenText\DM\Temp\LDS_002-#6090459-v1-Eversheds_Sutherland_logo_-_MARGINS_SET_-_9_6cm_on_A4;_13_6cm_on_A3;_8_3cm_on_A5;_6_7cm_on_A6;_25cm_on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h\AppData\Roaming\OpenText\DM\Temp\LDS_002-#6090459-v1-Eversheds_Sutherland_logo_-_MARGINS_SET_-_9_6cm_on_A4;_13_6cm_on_A3;_8_3cm_on_A5;_6_7cm_on_A6;_25cm_on_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14" cy="2977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0DD">
        <w:rPr>
          <w:sz w:val="36"/>
          <w:szCs w:val="36"/>
        </w:rPr>
        <w:t xml:space="preserve">Associate and </w:t>
      </w:r>
      <w:r w:rsidR="00CD57AF">
        <w:rPr>
          <w:sz w:val="36"/>
          <w:szCs w:val="36"/>
        </w:rPr>
        <w:t xml:space="preserve">Senior </w:t>
      </w:r>
      <w:r w:rsidR="00F56584" w:rsidRPr="00F56584">
        <w:rPr>
          <w:sz w:val="36"/>
          <w:szCs w:val="36"/>
        </w:rPr>
        <w:t>Associate In Pensions</w:t>
      </w:r>
    </w:p>
    <w:tbl>
      <w:tblPr>
        <w:tblStyle w:val="Table1"/>
        <w:tblW w:w="5000" w:type="pct"/>
        <w:tblInd w:w="720" w:type="dxa"/>
        <w:tblLook w:val="0480" w:firstRow="0" w:lastRow="0" w:firstColumn="1" w:lastColumn="0" w:noHBand="0" w:noVBand="1"/>
      </w:tblPr>
      <w:tblGrid>
        <w:gridCol w:w="5280"/>
        <w:gridCol w:w="4925"/>
      </w:tblGrid>
      <w:tr w:rsidR="00F24CC9" w:rsidRPr="00004FA4" w14:paraId="26514AA1" w14:textId="77777777" w:rsidTr="00A93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pct"/>
          </w:tcPr>
          <w:p w14:paraId="388BA22B" w14:textId="77777777" w:rsidR="00F24CC9" w:rsidRPr="00004FA4" w:rsidRDefault="00F24CC9" w:rsidP="006F2A19">
            <w:pPr>
              <w:pStyle w:val="Body0"/>
              <w:spacing w:before="120"/>
            </w:pPr>
            <w:r w:rsidRPr="00004FA4">
              <w:t xml:space="preserve">Practice </w:t>
            </w:r>
            <w:r>
              <w:t>G</w:t>
            </w:r>
            <w:r w:rsidRPr="00004FA4">
              <w:t>roup/Global Operations team</w:t>
            </w:r>
          </w:p>
        </w:tc>
        <w:tc>
          <w:tcPr>
            <w:tcW w:w="2413" w:type="pct"/>
          </w:tcPr>
          <w:p w14:paraId="5FD916EC" w14:textId="77777777" w:rsidR="00F24CC9" w:rsidRPr="00004FA4" w:rsidRDefault="00806728" w:rsidP="006F2A19">
            <w:pPr>
              <w:pStyle w:val="Body0"/>
              <w:spacing w:before="120"/>
              <w:ind w:left="600"/>
              <w:cnfStyle w:val="000000100000" w:firstRow="0" w:lastRow="0" w:firstColumn="0" w:lastColumn="0" w:oddVBand="0" w:evenVBand="0" w:oddHBand="1" w:evenHBand="0" w:firstRowFirstColumn="0" w:firstRowLastColumn="0" w:lastRowFirstColumn="0" w:lastRowLastColumn="0"/>
            </w:pPr>
            <w:r>
              <w:t>ELPG</w:t>
            </w:r>
          </w:p>
        </w:tc>
      </w:tr>
      <w:tr w:rsidR="00F24CC9" w:rsidRPr="00004FA4" w14:paraId="328B2873" w14:textId="77777777" w:rsidTr="00A93FC2">
        <w:tc>
          <w:tcPr>
            <w:cnfStyle w:val="001000000000" w:firstRow="0" w:lastRow="0" w:firstColumn="1" w:lastColumn="0" w:oddVBand="0" w:evenVBand="0" w:oddHBand="0" w:evenHBand="0" w:firstRowFirstColumn="0" w:firstRowLastColumn="0" w:lastRowFirstColumn="0" w:lastRowLastColumn="0"/>
            <w:tcW w:w="2587" w:type="pct"/>
          </w:tcPr>
          <w:p w14:paraId="17A8D5BD" w14:textId="77777777" w:rsidR="00F24CC9" w:rsidRPr="00004FA4" w:rsidRDefault="00F24CC9" w:rsidP="006F2A19">
            <w:pPr>
              <w:pStyle w:val="Body0"/>
              <w:spacing w:before="120"/>
            </w:pPr>
            <w:r>
              <w:t>Full time/Part time</w:t>
            </w:r>
          </w:p>
        </w:tc>
        <w:tc>
          <w:tcPr>
            <w:tcW w:w="2413" w:type="pct"/>
          </w:tcPr>
          <w:p w14:paraId="431C5F91" w14:textId="77777777" w:rsidR="00F24CC9" w:rsidRPr="00004FA4" w:rsidRDefault="00F24CC9" w:rsidP="006F2A19">
            <w:pPr>
              <w:pStyle w:val="Body0"/>
              <w:spacing w:before="120"/>
              <w:ind w:left="600"/>
              <w:cnfStyle w:val="000000000000" w:firstRow="0" w:lastRow="0" w:firstColumn="0" w:lastColumn="0" w:oddVBand="0" w:evenVBand="0" w:oddHBand="0" w:evenHBand="0" w:firstRowFirstColumn="0" w:firstRowLastColumn="0" w:lastRowFirstColumn="0" w:lastRowLastColumn="0"/>
            </w:pPr>
            <w:r>
              <w:t>Full-time</w:t>
            </w:r>
          </w:p>
        </w:tc>
      </w:tr>
      <w:tr w:rsidR="00F24CC9" w:rsidRPr="00004FA4" w14:paraId="786E9F00" w14:textId="77777777" w:rsidTr="00A93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pct"/>
          </w:tcPr>
          <w:p w14:paraId="1F9B9766" w14:textId="77777777" w:rsidR="00F24CC9" w:rsidRPr="00004FA4" w:rsidRDefault="00F24CC9" w:rsidP="006F2A19">
            <w:pPr>
              <w:pStyle w:val="Body0"/>
              <w:spacing w:before="120"/>
            </w:pPr>
            <w:r>
              <w:t>Location</w:t>
            </w:r>
          </w:p>
        </w:tc>
        <w:tc>
          <w:tcPr>
            <w:tcW w:w="2413" w:type="pct"/>
          </w:tcPr>
          <w:p w14:paraId="2F0BF2CE" w14:textId="77777777" w:rsidR="00F24CC9" w:rsidRPr="00004FA4" w:rsidRDefault="00806728" w:rsidP="006F2A19">
            <w:pPr>
              <w:pStyle w:val="Body0"/>
              <w:spacing w:before="120"/>
              <w:ind w:left="600"/>
              <w:cnfStyle w:val="000000100000" w:firstRow="0" w:lastRow="0" w:firstColumn="0" w:lastColumn="0" w:oddVBand="0" w:evenVBand="0" w:oddHBand="1" w:evenHBand="0" w:firstRowFirstColumn="0" w:firstRowLastColumn="0" w:lastRowFirstColumn="0" w:lastRowLastColumn="0"/>
            </w:pPr>
            <w:r>
              <w:t>Birmingham</w:t>
            </w:r>
          </w:p>
        </w:tc>
      </w:tr>
    </w:tbl>
    <w:p w14:paraId="46D6BEDB" w14:textId="77777777" w:rsidR="00F24CC9" w:rsidRDefault="00F24CC9" w:rsidP="00A93FC2">
      <w:pPr>
        <w:pStyle w:val="Heading1"/>
        <w:spacing w:line="276" w:lineRule="auto"/>
        <w:ind w:left="720"/>
      </w:pPr>
      <w:r>
        <w:t xml:space="preserve">About </w:t>
      </w:r>
      <w:r w:rsidRPr="00274D76">
        <w:t>Eversheds</w:t>
      </w:r>
      <w:r>
        <w:t xml:space="preserve"> Sutherland</w:t>
      </w:r>
    </w:p>
    <w:p w14:paraId="3764BB24" w14:textId="77777777" w:rsidR="00F24CC9" w:rsidRPr="00210695" w:rsidRDefault="00F24CC9" w:rsidP="00A93FC2">
      <w:pPr>
        <w:pStyle w:val="Body0"/>
        <w:spacing w:before="240"/>
        <w:ind w:left="720"/>
        <w:rPr>
          <w:szCs w:val="16"/>
        </w:rPr>
      </w:pPr>
      <w:r w:rsidRPr="00210695">
        <w:rPr>
          <w:szCs w:val="16"/>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2E6C16EA" w14:textId="77777777" w:rsidR="00F24CC9" w:rsidRPr="00210695" w:rsidRDefault="00F24CC9" w:rsidP="00A93FC2">
      <w:pPr>
        <w:pStyle w:val="Body0"/>
        <w:ind w:left="720"/>
        <w:rPr>
          <w:szCs w:val="16"/>
        </w:rPr>
      </w:pPr>
      <w:r w:rsidRPr="00210695">
        <w:rPr>
          <w:szCs w:val="16"/>
        </w:rPr>
        <w:t xml:space="preserve">As a full service law practice, we act for the public and private sector across the UK, Europe, Middle East, Africa, Asia and the US providing legal advice to clients across its company commercial, human resources, litigation and dispute management, and real estate practices. </w:t>
      </w:r>
    </w:p>
    <w:p w14:paraId="03B7E9C0" w14:textId="185F613D" w:rsidR="00F24CC9" w:rsidRPr="00210695" w:rsidRDefault="00F24CC9" w:rsidP="00A93FC2">
      <w:pPr>
        <w:pStyle w:val="Body0"/>
        <w:ind w:left="720"/>
        <w:rPr>
          <w:szCs w:val="16"/>
        </w:rPr>
      </w:pPr>
      <w:r w:rsidRPr="00210695">
        <w:rPr>
          <w:szCs w:val="16"/>
        </w:rPr>
        <w:t xml:space="preserve">With </w:t>
      </w:r>
      <w:r w:rsidRPr="00210695">
        <w:rPr>
          <w:b/>
          <w:bCs/>
          <w:color w:val="5BC5F2"/>
          <w:szCs w:val="16"/>
        </w:rPr>
        <w:t>69 offices</w:t>
      </w:r>
      <w:r w:rsidRPr="00210695">
        <w:rPr>
          <w:color w:val="5BC5F2"/>
          <w:szCs w:val="16"/>
        </w:rPr>
        <w:t xml:space="preserve"> </w:t>
      </w:r>
      <w:r w:rsidRPr="00210695">
        <w:rPr>
          <w:szCs w:val="16"/>
        </w:rPr>
        <w:t xml:space="preserve">across </w:t>
      </w:r>
      <w:r w:rsidRPr="00210695">
        <w:rPr>
          <w:b/>
          <w:bCs/>
          <w:color w:val="5BC5F2"/>
          <w:szCs w:val="16"/>
        </w:rPr>
        <w:t>3</w:t>
      </w:r>
      <w:r w:rsidR="00CD57AF">
        <w:rPr>
          <w:b/>
          <w:bCs/>
          <w:color w:val="5BC5F2"/>
          <w:szCs w:val="16"/>
        </w:rPr>
        <w:t>5</w:t>
      </w:r>
      <w:r w:rsidRPr="00210695">
        <w:rPr>
          <w:b/>
          <w:bCs/>
          <w:color w:val="5BC5F2"/>
          <w:szCs w:val="16"/>
        </w:rPr>
        <w:t xml:space="preserve"> countries</w:t>
      </w:r>
      <w:r w:rsidRPr="00210695">
        <w:rPr>
          <w:color w:val="5BC5F2"/>
          <w:szCs w:val="16"/>
        </w:rPr>
        <w:t xml:space="preserve"> </w:t>
      </w:r>
      <w:r w:rsidRPr="00210695">
        <w:rPr>
          <w:szCs w:val="16"/>
        </w:rPr>
        <w:t>worldwide, we have become one of the largest law practices in the world and a great place to work and develop your career.</w:t>
      </w:r>
    </w:p>
    <w:p w14:paraId="418F1CF4" w14:textId="77777777" w:rsidR="00F24CC9" w:rsidRDefault="00F24CC9" w:rsidP="00A93FC2">
      <w:pPr>
        <w:pStyle w:val="Heading1"/>
        <w:spacing w:line="276" w:lineRule="auto"/>
        <w:ind w:left="720"/>
      </w:pPr>
      <w:r>
        <w:t>The Team</w:t>
      </w:r>
    </w:p>
    <w:p w14:paraId="2A568AF1" w14:textId="77777777" w:rsidR="00F24CC9" w:rsidRPr="002A60C3" w:rsidRDefault="00F24CC9" w:rsidP="00A93FC2">
      <w:pPr>
        <w:shd w:val="clear" w:color="auto" w:fill="FFFFFF"/>
        <w:spacing w:before="100" w:beforeAutospacing="1" w:after="100" w:afterAutospacing="1"/>
        <w:ind w:left="720"/>
        <w:rPr>
          <w:rFonts w:ascii="Verdana" w:hAnsi="Verdana" w:cs="Arial"/>
          <w:color w:val="000000"/>
          <w:sz w:val="16"/>
          <w:szCs w:val="16"/>
        </w:rPr>
      </w:pPr>
      <w:r w:rsidRPr="002A60C3">
        <w:rPr>
          <w:rFonts w:ascii="Verdana" w:hAnsi="Verdana" w:cs="Arial"/>
          <w:color w:val="000000"/>
          <w:sz w:val="16"/>
          <w:szCs w:val="16"/>
        </w:rPr>
        <w:t>Eversheds Sutherland has one of the largest and most respected employment, pensions and consultancy groups in the sector. Our work ranges from pensions to employment tribunals, and we advise the biggest financial institutions and government bodies. We also regularly handle headline cases, and much of what we do has a significant international dimension.</w:t>
      </w:r>
    </w:p>
    <w:p w14:paraId="551D1245" w14:textId="77777777" w:rsidR="00F24CC9" w:rsidRDefault="00F24CC9" w:rsidP="00A93FC2">
      <w:pPr>
        <w:shd w:val="clear" w:color="auto" w:fill="FFFFFF"/>
        <w:spacing w:before="100" w:beforeAutospacing="1" w:after="100" w:afterAutospacing="1"/>
        <w:ind w:left="720"/>
        <w:rPr>
          <w:rFonts w:ascii="Verdana" w:hAnsi="Verdana" w:cs="Arial"/>
          <w:color w:val="000000"/>
          <w:sz w:val="16"/>
          <w:szCs w:val="16"/>
        </w:rPr>
      </w:pPr>
      <w:r w:rsidRPr="002A60C3">
        <w:rPr>
          <w:rFonts w:ascii="Verdana" w:hAnsi="Verdana" w:cs="Arial"/>
          <w:color w:val="000000"/>
          <w:sz w:val="16"/>
          <w:szCs w:val="16"/>
        </w:rPr>
        <w:t>So as you might expect, ours is also an environment of extraordinary pace. Rapidly changing pensions and employment law requires us to be fleet of foot and highly responsive to the evolving operational, strategic and commercial needs of our clients. That takes more than strong technical expertise. It takes flexible professionals with the emotional intelligence to relate to clients, understand the unique challenges they face, and build successful long-term relationships.</w:t>
      </w:r>
    </w:p>
    <w:p w14:paraId="5752CF49" w14:textId="77777777" w:rsidR="00F56584" w:rsidRDefault="00210695" w:rsidP="00A93FC2">
      <w:pPr>
        <w:pStyle w:val="Heading1"/>
        <w:spacing w:line="276" w:lineRule="auto"/>
        <w:ind w:left="720"/>
        <w:rPr>
          <w:color w:val="auto"/>
          <w:sz w:val="16"/>
          <w:szCs w:val="16"/>
        </w:rPr>
      </w:pPr>
      <w:r w:rsidRPr="00210695">
        <w:rPr>
          <w:color w:val="auto"/>
          <w:sz w:val="16"/>
          <w:szCs w:val="16"/>
        </w:rPr>
        <w:t>Eversheds Sutherland’s pensions team has gro</w:t>
      </w:r>
      <w:r w:rsidR="00A93FC2">
        <w:rPr>
          <w:color w:val="auto"/>
          <w:sz w:val="16"/>
          <w:szCs w:val="16"/>
        </w:rPr>
        <w:t>w</w:t>
      </w:r>
      <w:r w:rsidRPr="00210695">
        <w:rPr>
          <w:color w:val="auto"/>
          <w:sz w:val="16"/>
          <w:szCs w:val="16"/>
        </w:rPr>
        <w:t>n into a market leading force – both in the UK and across Europe. Most recently, as part of the FT Pension and Investment Provider Award</w:t>
      </w:r>
      <w:r w:rsidR="00A93FC2">
        <w:rPr>
          <w:color w:val="auto"/>
          <w:sz w:val="16"/>
          <w:szCs w:val="16"/>
        </w:rPr>
        <w:t>s</w:t>
      </w:r>
      <w:r w:rsidRPr="00210695">
        <w:rPr>
          <w:color w:val="auto"/>
          <w:sz w:val="16"/>
          <w:szCs w:val="16"/>
        </w:rPr>
        <w:t>, the team won the “Twenty Years of Excellence” award, was highly commended in the “Pensions Law Firm of the Year” award category and won the Europen Pension Lawyers of the yea</w:t>
      </w:r>
      <w:r w:rsidR="00A93FC2">
        <w:rPr>
          <w:color w:val="auto"/>
          <w:sz w:val="16"/>
          <w:szCs w:val="16"/>
        </w:rPr>
        <w:t>r</w:t>
      </w:r>
      <w:r w:rsidRPr="00210695">
        <w:rPr>
          <w:color w:val="auto"/>
          <w:sz w:val="16"/>
          <w:szCs w:val="16"/>
        </w:rPr>
        <w:t xml:space="preserve"> 2020. The recognises the consistent long term presence of the team as got </w:t>
      </w:r>
      <w:r w:rsidR="00A93FC2">
        <w:rPr>
          <w:color w:val="auto"/>
          <w:sz w:val="16"/>
          <w:szCs w:val="16"/>
        </w:rPr>
        <w:t>t</w:t>
      </w:r>
      <w:r w:rsidRPr="00210695">
        <w:rPr>
          <w:color w:val="auto"/>
          <w:sz w:val="16"/>
          <w:szCs w:val="16"/>
        </w:rPr>
        <w:t xml:space="preserve">o pensions advisors. </w:t>
      </w:r>
    </w:p>
    <w:p w14:paraId="1EE704C7" w14:textId="77777777" w:rsidR="00210695" w:rsidRPr="00A93FC2" w:rsidRDefault="00210695" w:rsidP="00A93FC2">
      <w:pPr>
        <w:pStyle w:val="Heading1"/>
        <w:spacing w:line="276" w:lineRule="auto"/>
        <w:ind w:left="720"/>
        <w:rPr>
          <w:color w:val="00B0F0"/>
        </w:rPr>
      </w:pPr>
      <w:r w:rsidRPr="00A93FC2">
        <w:rPr>
          <w:color w:val="00B0F0"/>
        </w:rPr>
        <w:t>Most recent Awards:</w:t>
      </w:r>
    </w:p>
    <w:p w14:paraId="1FAF174B" w14:textId="77777777" w:rsidR="00210695" w:rsidRPr="00A93FC2" w:rsidRDefault="00210695" w:rsidP="00A93FC2">
      <w:pPr>
        <w:pStyle w:val="ListParagraph"/>
        <w:numPr>
          <w:ilvl w:val="0"/>
          <w:numId w:val="13"/>
        </w:numPr>
        <w:autoSpaceDE w:val="0"/>
        <w:autoSpaceDN w:val="0"/>
        <w:adjustRightInd w:val="0"/>
        <w:ind w:left="1440"/>
        <w:rPr>
          <w:rFonts w:ascii="Verdana" w:hAnsi="Verdana" w:cs="EHBKEA+Verdana"/>
          <w:color w:val="000000"/>
          <w:sz w:val="16"/>
          <w:szCs w:val="16"/>
        </w:rPr>
      </w:pPr>
      <w:r w:rsidRPr="00A93FC2">
        <w:rPr>
          <w:rFonts w:ascii="Verdana" w:hAnsi="Verdana" w:cs="EHBKEA+Verdana"/>
          <w:color w:val="000000"/>
          <w:sz w:val="16"/>
          <w:szCs w:val="16"/>
        </w:rPr>
        <w:t>European Pensions Awards 2020</w:t>
      </w:r>
      <w:r w:rsidR="00A93FC2" w:rsidRPr="00A93FC2">
        <w:rPr>
          <w:rFonts w:ascii="Verdana" w:hAnsi="Verdana" w:cs="EHBKEA+Verdana"/>
          <w:color w:val="000000"/>
          <w:sz w:val="16"/>
          <w:szCs w:val="16"/>
        </w:rPr>
        <w:t xml:space="preserve"> - </w:t>
      </w:r>
      <w:r w:rsidRPr="00A93FC2">
        <w:rPr>
          <w:rFonts w:ascii="Verdana" w:hAnsi="Verdana" w:cs="EHBKEA+Verdana"/>
          <w:color w:val="000000"/>
          <w:sz w:val="16"/>
          <w:szCs w:val="16"/>
        </w:rPr>
        <w:t>Law Firm of the Year</w:t>
      </w:r>
    </w:p>
    <w:p w14:paraId="1B1D5949" w14:textId="77777777" w:rsidR="00210695" w:rsidRPr="00A93FC2" w:rsidRDefault="00210695" w:rsidP="00A93FC2">
      <w:pPr>
        <w:pStyle w:val="ListParagraph"/>
        <w:numPr>
          <w:ilvl w:val="0"/>
          <w:numId w:val="13"/>
        </w:numPr>
        <w:autoSpaceDE w:val="0"/>
        <w:autoSpaceDN w:val="0"/>
        <w:adjustRightInd w:val="0"/>
        <w:ind w:left="1440"/>
        <w:rPr>
          <w:rFonts w:ascii="Verdana" w:hAnsi="Verdana" w:cs="EHBKEA+Verdana"/>
          <w:color w:val="000000"/>
          <w:sz w:val="16"/>
          <w:szCs w:val="16"/>
        </w:rPr>
      </w:pPr>
      <w:r w:rsidRPr="00A93FC2">
        <w:rPr>
          <w:rFonts w:ascii="Verdana" w:hAnsi="Verdana" w:cs="EHBKEA+Verdana"/>
          <w:color w:val="000000"/>
          <w:sz w:val="16"/>
          <w:szCs w:val="16"/>
        </w:rPr>
        <w:t>Financial Times PIPA 2020 Commended, Pensions Law Firm of the Year</w:t>
      </w:r>
    </w:p>
    <w:p w14:paraId="4FF71278" w14:textId="77777777" w:rsidR="00210695" w:rsidRPr="00A93FC2" w:rsidRDefault="00210695" w:rsidP="00A93FC2">
      <w:pPr>
        <w:pStyle w:val="ListParagraph"/>
        <w:numPr>
          <w:ilvl w:val="0"/>
          <w:numId w:val="13"/>
        </w:numPr>
        <w:autoSpaceDE w:val="0"/>
        <w:autoSpaceDN w:val="0"/>
        <w:adjustRightInd w:val="0"/>
        <w:ind w:left="1440"/>
        <w:rPr>
          <w:rFonts w:ascii="Verdana" w:hAnsi="Verdana" w:cs="EHBKEA+Verdana"/>
          <w:color w:val="000000"/>
          <w:sz w:val="16"/>
          <w:szCs w:val="16"/>
        </w:rPr>
      </w:pPr>
      <w:r w:rsidRPr="00A93FC2">
        <w:rPr>
          <w:rFonts w:ascii="Verdana" w:hAnsi="Verdana" w:cs="EHBKEA+Verdana"/>
          <w:color w:val="000000"/>
          <w:sz w:val="16"/>
          <w:szCs w:val="16"/>
        </w:rPr>
        <w:t>Financial Times PIPA 2019 “Twenty Years of Excellence in Legal Advice” award in 2019</w:t>
      </w:r>
    </w:p>
    <w:p w14:paraId="548C7456" w14:textId="77777777" w:rsidR="00210695" w:rsidRPr="00A93FC2" w:rsidRDefault="00210695" w:rsidP="00A93FC2">
      <w:pPr>
        <w:pStyle w:val="ListParagraph"/>
        <w:numPr>
          <w:ilvl w:val="0"/>
          <w:numId w:val="13"/>
        </w:numPr>
        <w:autoSpaceDE w:val="0"/>
        <w:autoSpaceDN w:val="0"/>
        <w:adjustRightInd w:val="0"/>
        <w:ind w:left="1440"/>
        <w:rPr>
          <w:rFonts w:ascii="Verdana" w:hAnsi="Verdana" w:cs="EHBKEA+Verdana"/>
          <w:color w:val="000000"/>
          <w:sz w:val="16"/>
          <w:szCs w:val="16"/>
        </w:rPr>
      </w:pPr>
      <w:r w:rsidRPr="00A93FC2">
        <w:rPr>
          <w:rFonts w:ascii="Verdana" w:hAnsi="Verdana" w:cs="EHBKEA+Verdana"/>
          <w:color w:val="000000"/>
          <w:sz w:val="16"/>
          <w:szCs w:val="16"/>
        </w:rPr>
        <w:t>Pension Law Firm of the Year</w:t>
      </w:r>
      <w:r w:rsidR="00A93FC2" w:rsidRPr="00A93FC2">
        <w:rPr>
          <w:rFonts w:ascii="Verdana" w:hAnsi="Verdana" w:cs="EHBKEA+Verdana"/>
          <w:color w:val="000000"/>
          <w:sz w:val="16"/>
          <w:szCs w:val="16"/>
        </w:rPr>
        <w:t xml:space="preserve"> 2018 &amp; 2016 - </w:t>
      </w:r>
      <w:r w:rsidRPr="00A93FC2">
        <w:rPr>
          <w:rFonts w:ascii="Verdana" w:hAnsi="Verdana" w:cs="EHBKEA+Verdana"/>
          <w:color w:val="000000"/>
          <w:sz w:val="16"/>
          <w:szCs w:val="16"/>
        </w:rPr>
        <w:t>Pensions Age Awards 2018 &amp; 2016</w:t>
      </w:r>
    </w:p>
    <w:p w14:paraId="2B57F2EA" w14:textId="77777777" w:rsidR="00210695" w:rsidRPr="00A93FC2" w:rsidRDefault="00210695" w:rsidP="00A93FC2">
      <w:pPr>
        <w:pStyle w:val="ListParagraph"/>
        <w:numPr>
          <w:ilvl w:val="0"/>
          <w:numId w:val="13"/>
        </w:numPr>
        <w:autoSpaceDE w:val="0"/>
        <w:autoSpaceDN w:val="0"/>
        <w:adjustRightInd w:val="0"/>
        <w:ind w:left="1440"/>
        <w:rPr>
          <w:rFonts w:ascii="Verdana" w:hAnsi="Verdana" w:cs="EHBKEA+Verdana"/>
          <w:color w:val="000000"/>
          <w:sz w:val="16"/>
          <w:szCs w:val="16"/>
        </w:rPr>
      </w:pPr>
      <w:r w:rsidRPr="00A93FC2">
        <w:rPr>
          <w:rFonts w:ascii="Verdana" w:hAnsi="Verdana" w:cs="EHBKEA+Verdana"/>
          <w:color w:val="000000"/>
          <w:sz w:val="16"/>
          <w:szCs w:val="16"/>
        </w:rPr>
        <w:t>Pension Lawyers of the Year - Professional Pensions UK - Pensions Awards 2017</w:t>
      </w:r>
    </w:p>
    <w:p w14:paraId="680ED585" w14:textId="77777777" w:rsidR="00210695" w:rsidRPr="00A93FC2" w:rsidRDefault="00210695" w:rsidP="00A93FC2">
      <w:pPr>
        <w:pStyle w:val="ListParagraph"/>
        <w:numPr>
          <w:ilvl w:val="0"/>
          <w:numId w:val="13"/>
        </w:numPr>
        <w:autoSpaceDE w:val="0"/>
        <w:autoSpaceDN w:val="0"/>
        <w:adjustRightInd w:val="0"/>
        <w:ind w:left="1440"/>
        <w:rPr>
          <w:rFonts w:ascii="Verdana" w:hAnsi="Verdana" w:cs="EHBKEA+Verdana"/>
          <w:color w:val="000000"/>
          <w:sz w:val="16"/>
          <w:szCs w:val="16"/>
        </w:rPr>
      </w:pPr>
      <w:r w:rsidRPr="00A93FC2">
        <w:rPr>
          <w:rFonts w:ascii="Verdana" w:hAnsi="Verdana" w:cs="EHBKEA+Verdana"/>
          <w:color w:val="000000"/>
          <w:sz w:val="16"/>
          <w:szCs w:val="16"/>
        </w:rPr>
        <w:t>Best Trustee Education Provider - Engaged Investor Awards 2016</w:t>
      </w:r>
    </w:p>
    <w:p w14:paraId="1C223958" w14:textId="77777777" w:rsidR="00F24CC9" w:rsidRDefault="00F24CC9" w:rsidP="00A93FC2">
      <w:pPr>
        <w:pStyle w:val="Heading1"/>
        <w:spacing w:line="276" w:lineRule="auto"/>
        <w:ind w:left="720"/>
      </w:pPr>
      <w:r>
        <w:t xml:space="preserve">Role </w:t>
      </w:r>
    </w:p>
    <w:p w14:paraId="67FE9944" w14:textId="11FE676F" w:rsidR="00806728" w:rsidRPr="00A93FC2" w:rsidRDefault="00806728" w:rsidP="00A93FC2">
      <w:pPr>
        <w:ind w:left="720"/>
        <w:rPr>
          <w:rFonts w:ascii="Verdana" w:hAnsi="Verdana"/>
          <w:sz w:val="16"/>
          <w:szCs w:val="16"/>
        </w:rPr>
      </w:pPr>
      <w:r w:rsidRPr="00A93FC2">
        <w:rPr>
          <w:rFonts w:ascii="Verdana" w:hAnsi="Verdana"/>
          <w:sz w:val="16"/>
          <w:szCs w:val="16"/>
        </w:rPr>
        <w:t xml:space="preserve">We have a position for a lawyer ideally in the </w:t>
      </w:r>
      <w:r w:rsidR="00CD57AF">
        <w:rPr>
          <w:rFonts w:ascii="Verdana" w:hAnsi="Verdana"/>
          <w:sz w:val="16"/>
          <w:szCs w:val="16"/>
        </w:rPr>
        <w:t>3</w:t>
      </w:r>
      <w:r w:rsidR="00DF19AE">
        <w:rPr>
          <w:rFonts w:ascii="Verdana" w:hAnsi="Verdana"/>
          <w:sz w:val="16"/>
          <w:szCs w:val="16"/>
        </w:rPr>
        <w:t xml:space="preserve"> - </w:t>
      </w:r>
      <w:r w:rsidR="00CD57AF">
        <w:rPr>
          <w:rFonts w:ascii="Verdana" w:hAnsi="Verdana"/>
          <w:sz w:val="16"/>
          <w:szCs w:val="16"/>
        </w:rPr>
        <w:t>6</w:t>
      </w:r>
      <w:r w:rsidRPr="00A93FC2">
        <w:rPr>
          <w:rFonts w:ascii="Verdana" w:hAnsi="Verdana"/>
          <w:sz w:val="16"/>
          <w:szCs w:val="16"/>
        </w:rPr>
        <w:t xml:space="preserve"> years’ PQE range. We would be very happy to hear from applicants who have worked in industry and who wish to return to private practice or from applicants looking for part-time or flexible working posts.</w:t>
      </w:r>
    </w:p>
    <w:p w14:paraId="2D4ABDAA" w14:textId="77777777" w:rsidR="00806728" w:rsidRPr="00A93FC2" w:rsidRDefault="00806728" w:rsidP="00A93FC2">
      <w:pPr>
        <w:ind w:left="720"/>
        <w:rPr>
          <w:rFonts w:ascii="Verdana" w:hAnsi="Verdana" w:cs="Arial"/>
          <w:b/>
          <w:bCs/>
          <w:sz w:val="16"/>
          <w:szCs w:val="16"/>
          <w:lang w:val="en"/>
        </w:rPr>
      </w:pPr>
      <w:r w:rsidRPr="00A93FC2">
        <w:rPr>
          <w:rFonts w:ascii="Verdana" w:hAnsi="Verdana"/>
          <w:sz w:val="16"/>
          <w:szCs w:val="16"/>
        </w:rPr>
        <w:t xml:space="preserve">The successful candidate will be responsive to clients have a “can-do” approach and enjoy working as part of a team.  </w:t>
      </w:r>
    </w:p>
    <w:p w14:paraId="275AF52E" w14:textId="77777777" w:rsidR="00806728" w:rsidRPr="00A93FC2" w:rsidRDefault="00806728" w:rsidP="00A93FC2">
      <w:pPr>
        <w:pStyle w:val="xmsonormal"/>
        <w:tabs>
          <w:tab w:val="left" w:pos="3120"/>
        </w:tabs>
        <w:ind w:left="720"/>
        <w:contextualSpacing/>
        <w:rPr>
          <w:rFonts w:ascii="Verdana" w:hAnsi="Verdana" w:cs="Arial"/>
          <w:sz w:val="16"/>
          <w:szCs w:val="16"/>
          <w:lang w:val="en"/>
        </w:rPr>
      </w:pPr>
      <w:r w:rsidRPr="00A93FC2">
        <w:rPr>
          <w:rFonts w:ascii="Verdana" w:hAnsi="Verdana" w:cs="Arial"/>
          <w:sz w:val="16"/>
          <w:szCs w:val="16"/>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677CB80E" w14:textId="77777777" w:rsidR="00F24CC9" w:rsidRPr="00A93FC2" w:rsidRDefault="00806728" w:rsidP="00A93FC2">
      <w:pPr>
        <w:ind w:left="720"/>
        <w:rPr>
          <w:rFonts w:ascii="Verdana" w:hAnsi="Verdana"/>
          <w:sz w:val="28"/>
          <w:szCs w:val="28"/>
        </w:rPr>
      </w:pPr>
      <w:r w:rsidRPr="00C5166D">
        <w:rPr>
          <w:rFonts w:cs="Arial"/>
          <w:lang w:val="en" w:eastAsia="en-GB"/>
        </w:rPr>
        <w:br/>
      </w:r>
      <w:r w:rsidR="00F24CC9" w:rsidRPr="00A93FC2">
        <w:rPr>
          <w:rFonts w:ascii="Verdana" w:hAnsi="Verdana"/>
          <w:color w:val="00B0F0"/>
          <w:sz w:val="28"/>
          <w:szCs w:val="28"/>
        </w:rPr>
        <w:t>Why Us?</w:t>
      </w:r>
    </w:p>
    <w:p w14:paraId="36ADE2D4" w14:textId="77777777" w:rsidR="00F24CC9" w:rsidRPr="00707193" w:rsidRDefault="00F24CC9" w:rsidP="00A93FC2">
      <w:pPr>
        <w:pStyle w:val="Bullet"/>
        <w:tabs>
          <w:tab w:val="clear" w:pos="340"/>
          <w:tab w:val="num" w:pos="1060"/>
        </w:tabs>
        <w:spacing w:line="360" w:lineRule="auto"/>
        <w:ind w:left="1060"/>
      </w:pPr>
      <w:r>
        <w:rPr>
          <w:b/>
        </w:rPr>
        <w:lastRenderedPageBreak/>
        <w:t xml:space="preserve">Agile – </w:t>
      </w:r>
      <w:r>
        <w:t>Flexible</w:t>
      </w:r>
      <w:r w:rsidRPr="00707193">
        <w:t xml:space="preserve"> working</w:t>
      </w:r>
      <w:r>
        <w:rPr>
          <w:b/>
        </w:rPr>
        <w:t xml:space="preserve"> </w:t>
      </w:r>
      <w:r w:rsidRPr="006B2E75">
        <w:t>opportunities</w:t>
      </w:r>
    </w:p>
    <w:p w14:paraId="47E3AE84" w14:textId="77777777" w:rsidR="00F24CC9" w:rsidRPr="00707193" w:rsidRDefault="00F24CC9" w:rsidP="00A93FC2">
      <w:pPr>
        <w:pStyle w:val="Bullet"/>
        <w:tabs>
          <w:tab w:val="clear" w:pos="340"/>
          <w:tab w:val="num" w:pos="1060"/>
        </w:tabs>
        <w:spacing w:line="360" w:lineRule="auto"/>
        <w:ind w:left="1060"/>
      </w:pPr>
      <w:r w:rsidRPr="00707193">
        <w:rPr>
          <w:b/>
        </w:rPr>
        <w:t>Benefits</w:t>
      </w:r>
      <w:r>
        <w:t xml:space="preserve"> – Comprehensive benefits package</w:t>
      </w:r>
    </w:p>
    <w:p w14:paraId="04AACD15" w14:textId="77777777" w:rsidR="00F24CC9" w:rsidRPr="00BE2EB6" w:rsidRDefault="00F24CC9" w:rsidP="00A93FC2">
      <w:pPr>
        <w:pStyle w:val="Bullet"/>
        <w:tabs>
          <w:tab w:val="clear" w:pos="340"/>
          <w:tab w:val="num" w:pos="1060"/>
        </w:tabs>
        <w:spacing w:line="360" w:lineRule="auto"/>
        <w:ind w:left="1060"/>
      </w:pPr>
      <w:r>
        <w:rPr>
          <w:b/>
        </w:rPr>
        <w:t xml:space="preserve">Corporate Social Responsibility </w:t>
      </w:r>
      <w:r>
        <w:t xml:space="preserve">(CSR) – Charitable trusts and volunteering </w:t>
      </w:r>
    </w:p>
    <w:p w14:paraId="278A4AEA" w14:textId="77777777" w:rsidR="00F24CC9" w:rsidRPr="00BE2EB6" w:rsidRDefault="00F24CC9" w:rsidP="00A93FC2">
      <w:pPr>
        <w:pStyle w:val="Bullet"/>
        <w:tabs>
          <w:tab w:val="clear" w:pos="340"/>
          <w:tab w:val="num" w:pos="1060"/>
        </w:tabs>
        <w:spacing w:line="360" w:lineRule="auto"/>
        <w:ind w:left="1060"/>
      </w:pPr>
      <w:r w:rsidRPr="00376F54">
        <w:rPr>
          <w:b/>
        </w:rPr>
        <w:t>Culture</w:t>
      </w:r>
      <w:r>
        <w:t xml:space="preserve"> – Wellbeing, supportive, inclusive and diverse</w:t>
      </w:r>
    </w:p>
    <w:p w14:paraId="7F68B3E4" w14:textId="77777777" w:rsidR="00F24CC9" w:rsidRPr="00BE2EB6" w:rsidRDefault="00F24CC9" w:rsidP="00A93FC2">
      <w:pPr>
        <w:pStyle w:val="Bullet"/>
        <w:tabs>
          <w:tab w:val="clear" w:pos="340"/>
          <w:tab w:val="num" w:pos="1060"/>
        </w:tabs>
        <w:spacing w:line="360" w:lineRule="auto"/>
        <w:ind w:left="1060"/>
      </w:pPr>
      <w:r w:rsidRPr="00376F54">
        <w:rPr>
          <w:b/>
        </w:rPr>
        <w:t>Innovation</w:t>
      </w:r>
      <w:r>
        <w:t xml:space="preserve"> – Winner of a number of Innovation Awards</w:t>
      </w:r>
    </w:p>
    <w:p w14:paraId="6ECA3D91" w14:textId="77777777" w:rsidR="00F24CC9" w:rsidRDefault="00F24CC9" w:rsidP="00A93FC2">
      <w:pPr>
        <w:pStyle w:val="Bullet"/>
        <w:tabs>
          <w:tab w:val="clear" w:pos="340"/>
          <w:tab w:val="num" w:pos="1060"/>
        </w:tabs>
        <w:spacing w:line="360" w:lineRule="auto"/>
        <w:ind w:left="1060"/>
      </w:pPr>
      <w:r w:rsidRPr="00376F54">
        <w:rPr>
          <w:b/>
        </w:rPr>
        <w:t>Opp</w:t>
      </w:r>
      <w:r>
        <w:rPr>
          <w:b/>
        </w:rPr>
        <w:t>ortunities</w:t>
      </w:r>
      <w:r>
        <w:t xml:space="preserve"> – Development, mentoring, STEP training programme and secondments</w:t>
      </w:r>
    </w:p>
    <w:p w14:paraId="5FA8DABC" w14:textId="77777777" w:rsidR="000F7BFE" w:rsidRDefault="00F24CC9" w:rsidP="00A93FC2">
      <w:pPr>
        <w:pStyle w:val="Bullet"/>
        <w:tabs>
          <w:tab w:val="clear" w:pos="340"/>
          <w:tab w:val="num" w:pos="1060"/>
        </w:tabs>
        <w:spacing w:line="360" w:lineRule="auto"/>
        <w:ind w:left="1060"/>
      </w:pPr>
      <w:r w:rsidRPr="00A93FC2">
        <w:rPr>
          <w:b/>
        </w:rPr>
        <w:t>Reputation</w:t>
      </w:r>
      <w:r>
        <w:t xml:space="preserve"> – UK’s strongest law brand</w:t>
      </w:r>
    </w:p>
    <w:p w14:paraId="6BDC5043" w14:textId="77777777" w:rsidR="00A93FC2" w:rsidRDefault="00A93FC2" w:rsidP="00A93FC2">
      <w:pPr>
        <w:pStyle w:val="Bullet"/>
        <w:numPr>
          <w:ilvl w:val="0"/>
          <w:numId w:val="0"/>
        </w:numPr>
        <w:spacing w:line="360" w:lineRule="auto"/>
        <w:ind w:left="340" w:hanging="340"/>
      </w:pPr>
    </w:p>
    <w:p w14:paraId="7DFFFEBE" w14:textId="77777777" w:rsidR="00A93FC2" w:rsidRPr="00041641" w:rsidRDefault="00A93FC2" w:rsidP="00A93FC2">
      <w:pPr>
        <w:pStyle w:val="Heading1"/>
        <w:spacing w:before="120" w:line="276" w:lineRule="auto"/>
      </w:pPr>
      <w:r>
        <w:t>Values</w:t>
      </w:r>
    </w:p>
    <w:p w14:paraId="60DCA825" w14:textId="77777777" w:rsidR="00A93FC2" w:rsidRDefault="00A93FC2" w:rsidP="00A93FC2">
      <w:pPr>
        <w:pStyle w:val="Heading2"/>
      </w:pPr>
      <w:r>
        <w:t>Together we are</w:t>
      </w:r>
    </w:p>
    <w:tbl>
      <w:tblPr>
        <w:tblW w:w="5000" w:type="pct"/>
        <w:jc w:val="center"/>
        <w:tblLook w:val="0000" w:firstRow="0" w:lastRow="0" w:firstColumn="0" w:lastColumn="0" w:noHBand="0" w:noVBand="0"/>
      </w:tblPr>
      <w:tblGrid>
        <w:gridCol w:w="3401"/>
        <w:gridCol w:w="3402"/>
        <w:gridCol w:w="3402"/>
      </w:tblGrid>
      <w:tr w:rsidR="00A93FC2" w:rsidRPr="002B6685" w14:paraId="0385F5AE" w14:textId="77777777" w:rsidTr="00BF66B3">
        <w:trPr>
          <w:jc w:val="center"/>
        </w:trPr>
        <w:tc>
          <w:tcPr>
            <w:tcW w:w="1666" w:type="pct"/>
            <w:vAlign w:val="center"/>
          </w:tcPr>
          <w:p w14:paraId="0C2B8DA7" w14:textId="77777777" w:rsidR="00A93FC2" w:rsidRPr="002B6685" w:rsidRDefault="00A93FC2" w:rsidP="00BF66B3">
            <w:pPr>
              <w:spacing w:before="40" w:after="40"/>
              <w:jc w:val="center"/>
            </w:pPr>
            <w:r w:rsidRPr="002B6685">
              <w:rPr>
                <w:noProof/>
                <w:lang w:eastAsia="en-GB"/>
              </w:rPr>
              <w:drawing>
                <wp:inline distT="0" distB="0" distL="0" distR="0" wp14:anchorId="406FA7A3" wp14:editId="167EE7F1">
                  <wp:extent cx="610170" cy="720000"/>
                  <wp:effectExtent l="0" t="0" r="0" b="4445"/>
                  <wp:docPr id="2" name="Picture 2" descr="C:\Users\mirh\AppData\Local\Microsoft\Windows\Temporary Internet Files\Content.IE5\JNYV7D0G\DTUK002302 - Purpose and Values icons for brand 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h\AppData\Local\Microsoft\Windows\Temporary Internet Files\Content.IE5\JNYV7D0G\DTUK002302 - Purpose and Values icons for brand librar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88" t="15953" r="20806" b="14303"/>
                          <a:stretch/>
                        </pic:blipFill>
                        <pic:spPr bwMode="auto">
                          <a:xfrm>
                            <a:off x="0" y="0"/>
                            <a:ext cx="61017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14:paraId="7DE5FCF5" w14:textId="77777777" w:rsidR="00A93FC2" w:rsidRPr="002B6685" w:rsidRDefault="00A93FC2" w:rsidP="00BF66B3">
            <w:pPr>
              <w:spacing w:before="40" w:after="40"/>
              <w:jc w:val="center"/>
            </w:pPr>
            <w:r w:rsidRPr="002B6685">
              <w:rPr>
                <w:noProof/>
                <w:lang w:eastAsia="en-GB"/>
              </w:rPr>
              <w:drawing>
                <wp:inline distT="0" distB="0" distL="0" distR="0" wp14:anchorId="1D94C638" wp14:editId="6F8518A0">
                  <wp:extent cx="516922" cy="720000"/>
                  <wp:effectExtent l="0" t="0" r="0" b="4445"/>
                  <wp:docPr id="3" name="Picture 3" descr="C:\Users\mirh\AppData\Local\Microsoft\Windows\Temporary Internet Files\Content.IE5\ERO69M0E\DTUK002302 - Purpose and Values icons for brand libr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h\AppData\Local\Microsoft\Windows\Temporary Internet Files\Content.IE5\ERO69M0E\DTUK002302 - Purpose and Values icons for brand library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405" t="14771" r="24957" b="16090"/>
                          <a:stretch/>
                        </pic:blipFill>
                        <pic:spPr bwMode="auto">
                          <a:xfrm>
                            <a:off x="0" y="0"/>
                            <a:ext cx="516922"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14:paraId="7B26332B" w14:textId="77777777" w:rsidR="00A93FC2" w:rsidRPr="002B6685" w:rsidRDefault="00A93FC2" w:rsidP="00BF66B3">
            <w:pPr>
              <w:spacing w:before="40" w:after="40"/>
              <w:jc w:val="center"/>
            </w:pPr>
            <w:r w:rsidRPr="002B6685">
              <w:rPr>
                <w:noProof/>
                <w:lang w:eastAsia="en-GB"/>
              </w:rPr>
              <w:drawing>
                <wp:inline distT="0" distB="0" distL="0" distR="0" wp14:anchorId="600E9A80" wp14:editId="2B49FB64">
                  <wp:extent cx="582465" cy="720000"/>
                  <wp:effectExtent l="0" t="0" r="8255" b="4445"/>
                  <wp:docPr id="4" name="Picture 4" descr="C:\Users\mirh\AppData\Local\Microsoft\Windows\Temporary Internet Files\Content.IE5\3022KERU\DTUK002302 - Purpose and Values icons for brand libra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h\AppData\Local\Microsoft\Windows\Temporary Internet Files\Content.IE5\3022KERU\DTUK002302 - Purpose and Values icons for brand library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861" t="15957" r="23176" b="16102"/>
                          <a:stretch/>
                        </pic:blipFill>
                        <pic:spPr bwMode="auto">
                          <a:xfrm>
                            <a:off x="0" y="0"/>
                            <a:ext cx="582465"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3FC2" w:rsidRPr="009C6936" w14:paraId="209A52AB" w14:textId="77777777" w:rsidTr="00BF66B3">
        <w:trPr>
          <w:jc w:val="center"/>
        </w:trPr>
        <w:tc>
          <w:tcPr>
            <w:tcW w:w="1666" w:type="pct"/>
          </w:tcPr>
          <w:p w14:paraId="452ECDD5" w14:textId="77777777" w:rsidR="00A93FC2" w:rsidRPr="009C6936" w:rsidRDefault="00A93FC2" w:rsidP="00BF66B3">
            <w:pPr>
              <w:pStyle w:val="Body0"/>
              <w:spacing w:after="0"/>
              <w:jc w:val="center"/>
              <w:rPr>
                <w:szCs w:val="16"/>
              </w:rPr>
            </w:pPr>
            <w:r w:rsidRPr="009C6936">
              <w:rPr>
                <w:szCs w:val="16"/>
              </w:rPr>
              <w:t>We leverage our collective talents for the benefit of our clients and each other and we prize teamwork and relationships.</w:t>
            </w:r>
          </w:p>
        </w:tc>
        <w:tc>
          <w:tcPr>
            <w:tcW w:w="1667" w:type="pct"/>
          </w:tcPr>
          <w:p w14:paraId="2F9B3202" w14:textId="77777777" w:rsidR="00A93FC2" w:rsidRPr="009C6936" w:rsidRDefault="00A93FC2" w:rsidP="00BF66B3">
            <w:pPr>
              <w:pStyle w:val="Body0"/>
              <w:spacing w:after="0"/>
              <w:jc w:val="center"/>
              <w:rPr>
                <w:szCs w:val="16"/>
              </w:rPr>
            </w:pPr>
            <w:r w:rsidRPr="009C6936">
              <w:rPr>
                <w:szCs w:val="16"/>
              </w:rPr>
              <w:t>We are innovative and creative problem-solvers, providing an enhanced client and employee experience by not being bound by custom or convention.</w:t>
            </w:r>
          </w:p>
        </w:tc>
        <w:tc>
          <w:tcPr>
            <w:tcW w:w="1667" w:type="pct"/>
          </w:tcPr>
          <w:p w14:paraId="6FDA3118" w14:textId="77777777" w:rsidR="00A93FC2" w:rsidRPr="009C6936" w:rsidRDefault="00A93FC2" w:rsidP="00BF66B3">
            <w:pPr>
              <w:pStyle w:val="Body0"/>
              <w:spacing w:after="0"/>
              <w:jc w:val="center"/>
              <w:rPr>
                <w:szCs w:val="16"/>
              </w:rPr>
            </w:pPr>
            <w:r w:rsidRPr="009C6936">
              <w:rPr>
                <w:szCs w:val="16"/>
              </w:rPr>
              <w:t>We deliver quality and excellence and act with the utmost integrity at all times.</w:t>
            </w:r>
          </w:p>
        </w:tc>
      </w:tr>
    </w:tbl>
    <w:p w14:paraId="5B6221CB" w14:textId="77777777" w:rsidR="00A93FC2" w:rsidRPr="009C6936" w:rsidRDefault="00A93FC2" w:rsidP="00A93FC2">
      <w:pPr>
        <w:rPr>
          <w:sz w:val="16"/>
          <w:szCs w:val="16"/>
        </w:rPr>
      </w:pPr>
    </w:p>
    <w:tbl>
      <w:tblPr>
        <w:tblW w:w="0" w:type="auto"/>
        <w:jc w:val="center"/>
        <w:tblLook w:val="0000" w:firstRow="0" w:lastRow="0" w:firstColumn="0" w:lastColumn="0" w:noHBand="0" w:noVBand="0"/>
      </w:tblPr>
      <w:tblGrid>
        <w:gridCol w:w="3402"/>
        <w:gridCol w:w="3212"/>
      </w:tblGrid>
      <w:tr w:rsidR="00A93FC2" w:rsidRPr="009C6936" w14:paraId="1003E2F2" w14:textId="77777777" w:rsidTr="00BF66B3">
        <w:trPr>
          <w:jc w:val="center"/>
        </w:trPr>
        <w:tc>
          <w:tcPr>
            <w:tcW w:w="3402" w:type="dxa"/>
            <w:vAlign w:val="center"/>
          </w:tcPr>
          <w:p w14:paraId="5EB74103" w14:textId="77777777" w:rsidR="00A93FC2" w:rsidRPr="009C6936" w:rsidRDefault="00A93FC2" w:rsidP="00BF66B3">
            <w:pPr>
              <w:spacing w:before="40" w:after="40"/>
              <w:jc w:val="center"/>
              <w:rPr>
                <w:sz w:val="16"/>
                <w:szCs w:val="16"/>
              </w:rPr>
            </w:pPr>
            <w:r w:rsidRPr="009C6936">
              <w:rPr>
                <w:noProof/>
                <w:sz w:val="16"/>
                <w:szCs w:val="16"/>
                <w:lang w:eastAsia="en-GB"/>
              </w:rPr>
              <w:drawing>
                <wp:inline distT="0" distB="0" distL="0" distR="0" wp14:anchorId="503DEB77" wp14:editId="727F20A6">
                  <wp:extent cx="525913" cy="720000"/>
                  <wp:effectExtent l="0" t="0" r="7620" b="4445"/>
                  <wp:docPr id="5" name="Picture 5" descr="C:\Users\mirh\AppData\Local\Microsoft\Windows\Temporary Internet Files\Content.IE5\CQ71B7JS\DTUK002302 - Purpose and Values icons for brand libra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h\AppData\Local\Microsoft\Windows\Temporary Internet Files\Content.IE5\CQ71B7JS\DTUK002302 - Purpose and Values icons for brand library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406" t="16543" r="24961" b="15506"/>
                          <a:stretch/>
                        </pic:blipFill>
                        <pic:spPr bwMode="auto">
                          <a:xfrm>
                            <a:off x="0" y="0"/>
                            <a:ext cx="525913"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2" w:type="dxa"/>
            <w:vAlign w:val="center"/>
          </w:tcPr>
          <w:p w14:paraId="3745E8E1" w14:textId="77777777" w:rsidR="00A93FC2" w:rsidRPr="009C6936" w:rsidRDefault="00A93FC2" w:rsidP="00BF66B3">
            <w:pPr>
              <w:spacing w:before="40" w:after="40"/>
              <w:jc w:val="center"/>
              <w:rPr>
                <w:sz w:val="16"/>
                <w:szCs w:val="16"/>
              </w:rPr>
            </w:pPr>
            <w:r w:rsidRPr="009C6936">
              <w:rPr>
                <w:noProof/>
                <w:sz w:val="16"/>
                <w:szCs w:val="16"/>
                <w:lang w:eastAsia="en-GB"/>
              </w:rPr>
              <w:drawing>
                <wp:inline distT="0" distB="0" distL="0" distR="0" wp14:anchorId="12147A24" wp14:editId="369E780B">
                  <wp:extent cx="510990" cy="720000"/>
                  <wp:effectExtent l="0" t="0" r="3810" b="4445"/>
                  <wp:docPr id="6" name="Picture 6" descr="C:\Users\mirh\AppData\Local\Microsoft\Windows\Temporary Internet Files\Content.IE5\ERO69M0E\DTUK002302 - Purpose and Values icons for brand libra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h\AppData\Local\Microsoft\Windows\Temporary Internet Files\Content.IE5\ERO69M0E\DTUK002302 - Purpose and Values icons for brand library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815" t="15958" r="26128" b="14920"/>
                          <a:stretch/>
                        </pic:blipFill>
                        <pic:spPr bwMode="auto">
                          <a:xfrm>
                            <a:off x="0" y="0"/>
                            <a:ext cx="51099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3FC2" w:rsidRPr="009C6936" w14:paraId="097B44D7" w14:textId="77777777" w:rsidTr="00BF66B3">
        <w:trPr>
          <w:jc w:val="center"/>
        </w:trPr>
        <w:tc>
          <w:tcPr>
            <w:tcW w:w="3402" w:type="dxa"/>
          </w:tcPr>
          <w:p w14:paraId="00262447" w14:textId="77777777" w:rsidR="00A93FC2" w:rsidRPr="009C6936" w:rsidRDefault="00A93FC2" w:rsidP="00BF66B3">
            <w:pPr>
              <w:pStyle w:val="Body0"/>
              <w:spacing w:after="0"/>
              <w:jc w:val="center"/>
              <w:rPr>
                <w:szCs w:val="16"/>
              </w:rPr>
            </w:pPr>
            <w:r w:rsidRPr="009C6936">
              <w:rPr>
                <w:szCs w:val="16"/>
              </w:rPr>
              <w:t>We foster a diverse and inclusive culture that places respect and support for everyone at its core and empowers all our people to fulfill their potential.</w:t>
            </w:r>
          </w:p>
        </w:tc>
        <w:tc>
          <w:tcPr>
            <w:tcW w:w="3212" w:type="dxa"/>
          </w:tcPr>
          <w:p w14:paraId="524A5A69" w14:textId="77777777" w:rsidR="00A93FC2" w:rsidRPr="009C6936" w:rsidRDefault="00A93FC2" w:rsidP="00BF66B3">
            <w:pPr>
              <w:pStyle w:val="Body0"/>
              <w:spacing w:after="0"/>
              <w:jc w:val="center"/>
              <w:rPr>
                <w:szCs w:val="16"/>
              </w:rPr>
            </w:pPr>
            <w:r w:rsidRPr="009C6936">
              <w:rPr>
                <w:szCs w:val="16"/>
              </w:rPr>
              <w:t>We are approachable and nurture a culture of transparency and openness.</w:t>
            </w:r>
          </w:p>
        </w:tc>
      </w:tr>
    </w:tbl>
    <w:p w14:paraId="590CB409" w14:textId="77777777" w:rsidR="00A93FC2" w:rsidRDefault="00A93FC2" w:rsidP="00A93FC2">
      <w:pPr>
        <w:pStyle w:val="Heading1"/>
        <w:spacing w:before="120" w:line="276" w:lineRule="auto"/>
      </w:pPr>
    </w:p>
    <w:p w14:paraId="5763A57E" w14:textId="77777777" w:rsidR="00A93FC2" w:rsidRDefault="00A93FC2" w:rsidP="00A93FC2">
      <w:pPr>
        <w:pStyle w:val="Heading1"/>
        <w:spacing w:before="120" w:line="276" w:lineRule="auto"/>
      </w:pPr>
      <w:r>
        <w:t>Diversity and Inclusion</w:t>
      </w:r>
    </w:p>
    <w:p w14:paraId="24D0C604" w14:textId="77777777" w:rsidR="00A93FC2" w:rsidRPr="002A60C3" w:rsidRDefault="00A93FC2" w:rsidP="00A93FC2">
      <w:pPr>
        <w:rPr>
          <w:rFonts w:ascii="Verdana" w:hAnsi="Verdana"/>
          <w:sz w:val="16"/>
          <w:szCs w:val="16"/>
        </w:rPr>
      </w:pPr>
      <w:r w:rsidRPr="002A60C3">
        <w:rPr>
          <w:rFonts w:ascii="Verdana" w:hAnsi="Verdana"/>
          <w:sz w:val="16"/>
          <w:szCs w:val="16"/>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784948DD" w14:textId="77777777" w:rsidR="00A93FC2" w:rsidRPr="002A60C3" w:rsidRDefault="00A93FC2" w:rsidP="00A93FC2">
      <w:pPr>
        <w:rPr>
          <w:rFonts w:ascii="Verdana" w:hAnsi="Verdana"/>
          <w:sz w:val="16"/>
          <w:szCs w:val="16"/>
        </w:rPr>
      </w:pPr>
      <w:r w:rsidRPr="002A60C3">
        <w:rPr>
          <w:rFonts w:ascii="Verdana" w:hAnsi="Verdana"/>
          <w:sz w:val="16"/>
          <w:szCs w:val="16"/>
        </w:rPr>
        <w:t xml:space="preserve">We are happy to discuss any reasonable adjustments individuals may require at any stage of the recruitment process, and as part of joining our team. We are also open to talking about flexible working for our roles. Please get in touch with a member of our recruitment team if you would like to discuss anything or have any questions about the process and we will be happy to assist. </w:t>
      </w:r>
    </w:p>
    <w:p w14:paraId="2E7D3614" w14:textId="77777777" w:rsidR="00A93FC2" w:rsidRPr="00250D23" w:rsidRDefault="00A93FC2" w:rsidP="00A93FC2">
      <w:pPr>
        <w:pStyle w:val="Bullet"/>
        <w:numPr>
          <w:ilvl w:val="0"/>
          <w:numId w:val="0"/>
        </w:numPr>
        <w:spacing w:line="360" w:lineRule="auto"/>
        <w:ind w:left="340" w:hanging="340"/>
      </w:pPr>
    </w:p>
    <w:sectPr w:rsidR="00A93FC2" w:rsidRPr="00250D23" w:rsidSect="006F2A19">
      <w:headerReference w:type="default" r:id="rId13"/>
      <w:footerReference w:type="default" r:id="rId14"/>
      <w:pgSz w:w="11907" w:h="16840" w:code="9"/>
      <w:pgMar w:top="567" w:right="851" w:bottom="964" w:left="851" w:header="454" w:footer="27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3777" w14:textId="77777777" w:rsidR="00471D7D" w:rsidRDefault="00471D7D" w:rsidP="00BD67B8">
      <w:pPr>
        <w:spacing w:after="0" w:line="240" w:lineRule="auto"/>
      </w:pPr>
      <w:r>
        <w:separator/>
      </w:r>
    </w:p>
  </w:endnote>
  <w:endnote w:type="continuationSeparator" w:id="0">
    <w:p w14:paraId="7C09E4AC" w14:textId="77777777" w:rsidR="00471D7D" w:rsidRDefault="00471D7D" w:rsidP="00BD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37A3" w14:textId="77777777" w:rsidR="006F2A19" w:rsidRPr="003B6BC8" w:rsidRDefault="006F2A19" w:rsidP="006F2A19">
    <w:pPr>
      <w:pStyle w:val="Footer"/>
      <w:rPr>
        <w:szCs w:val="16"/>
      </w:rPr>
    </w:pPr>
    <w:r w:rsidRPr="003B6BC8">
      <w:rPr>
        <w:rStyle w:val="PageNumber"/>
        <w:szCs w:val="16"/>
      </w:rPr>
      <w:tab/>
    </w:r>
    <w:r w:rsidRPr="003B6BC8">
      <w:rPr>
        <w:rStyle w:val="PageNumber"/>
        <w:szCs w:val="16"/>
      </w:rPr>
      <w:fldChar w:fldCharType="begin"/>
    </w:r>
    <w:r w:rsidRPr="003B6BC8">
      <w:rPr>
        <w:rStyle w:val="PageNumber"/>
        <w:szCs w:val="16"/>
      </w:rPr>
      <w:instrText xml:space="preserve"> PAGE </w:instrText>
    </w:r>
    <w:r w:rsidRPr="003B6BC8">
      <w:rPr>
        <w:rStyle w:val="PageNumber"/>
        <w:szCs w:val="16"/>
      </w:rPr>
      <w:fldChar w:fldCharType="separate"/>
    </w:r>
    <w:r>
      <w:rPr>
        <w:rStyle w:val="PageNumber"/>
        <w:szCs w:val="16"/>
      </w:rPr>
      <w:t>2</w:t>
    </w:r>
    <w:r w:rsidRPr="003B6BC8">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003FA" w14:textId="77777777" w:rsidR="00471D7D" w:rsidRDefault="00471D7D" w:rsidP="00BD67B8">
      <w:pPr>
        <w:spacing w:after="0" w:line="240" w:lineRule="auto"/>
      </w:pPr>
      <w:r>
        <w:separator/>
      </w:r>
    </w:p>
  </w:footnote>
  <w:footnote w:type="continuationSeparator" w:id="0">
    <w:p w14:paraId="7736A4F2" w14:textId="77777777" w:rsidR="00471D7D" w:rsidRDefault="00471D7D" w:rsidP="00BD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4C2B" w14:textId="77777777" w:rsidR="006F2A19" w:rsidRDefault="006F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D92F88"/>
    <w:multiLevelType w:val="hybridMultilevel"/>
    <w:tmpl w:val="629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04C170D"/>
    <w:multiLevelType w:val="hybridMultilevel"/>
    <w:tmpl w:val="0A28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7"/>
  </w:num>
  <w:num w:numId="3">
    <w:abstractNumId w:val="12"/>
  </w:num>
  <w:num w:numId="4">
    <w:abstractNumId w:val="10"/>
  </w:num>
  <w:num w:numId="5">
    <w:abstractNumId w:val="9"/>
  </w:num>
  <w:num w:numId="6">
    <w:abstractNumId w:val="2"/>
  </w:num>
  <w:num w:numId="7">
    <w:abstractNumId w:val="3"/>
  </w:num>
  <w:num w:numId="8">
    <w:abstractNumId w:val="6"/>
  </w:num>
  <w:num w:numId="9">
    <w:abstractNumId w:val="0"/>
  </w:num>
  <w:num w:numId="10">
    <w:abstractNumId w:val="1"/>
  </w:num>
  <w:num w:numId="11">
    <w:abstractNumId w:val="11"/>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BF"/>
    <w:rsid w:val="00033CF3"/>
    <w:rsid w:val="00057BFB"/>
    <w:rsid w:val="00075AB5"/>
    <w:rsid w:val="000825E1"/>
    <w:rsid w:val="00095857"/>
    <w:rsid w:val="000F6ACA"/>
    <w:rsid w:val="000F7BFE"/>
    <w:rsid w:val="0011168A"/>
    <w:rsid w:val="001648A9"/>
    <w:rsid w:val="001A4A17"/>
    <w:rsid w:val="00210695"/>
    <w:rsid w:val="0022103D"/>
    <w:rsid w:val="00250D23"/>
    <w:rsid w:val="002D58E0"/>
    <w:rsid w:val="0038213C"/>
    <w:rsid w:val="0041100C"/>
    <w:rsid w:val="00437FD9"/>
    <w:rsid w:val="00471D7D"/>
    <w:rsid w:val="004A0F9B"/>
    <w:rsid w:val="004D7C14"/>
    <w:rsid w:val="00514FF6"/>
    <w:rsid w:val="00543D2B"/>
    <w:rsid w:val="00547358"/>
    <w:rsid w:val="00595A4B"/>
    <w:rsid w:val="005D5AA6"/>
    <w:rsid w:val="00611255"/>
    <w:rsid w:val="006169A5"/>
    <w:rsid w:val="00637D6D"/>
    <w:rsid w:val="0069099E"/>
    <w:rsid w:val="006D6242"/>
    <w:rsid w:val="006E4633"/>
    <w:rsid w:val="006F2A19"/>
    <w:rsid w:val="00741251"/>
    <w:rsid w:val="00785468"/>
    <w:rsid w:val="007B0C96"/>
    <w:rsid w:val="007B4017"/>
    <w:rsid w:val="00806728"/>
    <w:rsid w:val="008545CD"/>
    <w:rsid w:val="008614E0"/>
    <w:rsid w:val="0086283D"/>
    <w:rsid w:val="0092211F"/>
    <w:rsid w:val="00A371A8"/>
    <w:rsid w:val="00A448F9"/>
    <w:rsid w:val="00A93FC2"/>
    <w:rsid w:val="00AD72F9"/>
    <w:rsid w:val="00B4381F"/>
    <w:rsid w:val="00B65FEA"/>
    <w:rsid w:val="00B766FA"/>
    <w:rsid w:val="00B82B5E"/>
    <w:rsid w:val="00BD67B8"/>
    <w:rsid w:val="00C330BF"/>
    <w:rsid w:val="00C4391A"/>
    <w:rsid w:val="00C54DCC"/>
    <w:rsid w:val="00C74397"/>
    <w:rsid w:val="00CA13E5"/>
    <w:rsid w:val="00CA1ABA"/>
    <w:rsid w:val="00CD57AF"/>
    <w:rsid w:val="00CE3048"/>
    <w:rsid w:val="00D44B31"/>
    <w:rsid w:val="00D62BB9"/>
    <w:rsid w:val="00DB2F4D"/>
    <w:rsid w:val="00DC2D04"/>
    <w:rsid w:val="00DD3BA2"/>
    <w:rsid w:val="00DF19AE"/>
    <w:rsid w:val="00DF2BFB"/>
    <w:rsid w:val="00E12604"/>
    <w:rsid w:val="00EA364F"/>
    <w:rsid w:val="00EB6E62"/>
    <w:rsid w:val="00ED70DD"/>
    <w:rsid w:val="00F06AF5"/>
    <w:rsid w:val="00F24CC9"/>
    <w:rsid w:val="00F47BFE"/>
    <w:rsid w:val="00F56584"/>
    <w:rsid w:val="00F74ED1"/>
    <w:rsid w:val="00F75138"/>
    <w:rsid w:val="00F915E1"/>
    <w:rsid w:val="00FA49BB"/>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938A619"/>
  <w15:chartTrackingRefBased/>
  <w15:docId w15:val="{D858023F-7350-419D-B5E1-6321137E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B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rsid w:val="00095857"/>
    <w:pPr>
      <w:tabs>
        <w:tab w:val="center" w:pos="4536"/>
      </w:tabs>
      <w:spacing w:after="0" w:line="240" w:lineRule="auto"/>
      <w:jc w:val="both"/>
    </w:pPr>
    <w:rPr>
      <w:rFonts w:ascii="Verdana" w:eastAsia="Times New Roman" w:hAnsi="Verdana" w:cs="Times New Roman"/>
      <w:noProof/>
      <w:sz w:val="16"/>
      <w:szCs w:val="20"/>
      <w:lang w:eastAsia="en-GB"/>
    </w:rPr>
  </w:style>
  <w:style w:type="character" w:customStyle="1" w:styleId="FooterChar">
    <w:name w:val="Footer Char"/>
    <w:basedOn w:val="DefaultParagraphFont"/>
    <w:link w:val="Footer"/>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line="240" w:lineRule="auto"/>
      <w:ind w:left="851" w:hanging="851"/>
      <w:jc w:val="both"/>
    </w:pPr>
    <w:rPr>
      <w:rFonts w:ascii="Tahoma" w:eastAsia="Times New Roman" w:hAnsi="Tahoma" w:cs="Times New Roman"/>
      <w:sz w:val="16"/>
      <w:szCs w:val="20"/>
      <w:lang w:eastAsia="en-GB"/>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rsid w:val="00095857"/>
    <w:pPr>
      <w:tabs>
        <w:tab w:val="center" w:pos="4536"/>
        <w:tab w:val="right" w:pos="9072"/>
      </w:tabs>
      <w:spacing w:after="0" w:line="240" w:lineRule="auto"/>
      <w:jc w:val="both"/>
    </w:pPr>
    <w:rPr>
      <w:rFonts w:ascii="Verdana" w:eastAsia="Times New Roman" w:hAnsi="Verdana" w:cs="Times New Roman"/>
      <w:noProof/>
      <w:sz w:val="16"/>
      <w:szCs w:val="20"/>
      <w:lang w:eastAsia="en-GB"/>
    </w:rPr>
  </w:style>
  <w:style w:type="character" w:customStyle="1" w:styleId="HeaderChar">
    <w:name w:val="Header Char"/>
    <w:basedOn w:val="DefaultParagraphFont"/>
    <w:link w:val="Header"/>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table" w:styleId="TableGrid">
    <w:name w:val="Table Grid"/>
    <w:basedOn w:val="TableNormal"/>
    <w:uiPriority w:val="59"/>
    <w:rsid w:val="00C330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358"/>
    <w:pPr>
      <w:ind w:left="720"/>
      <w:contextualSpacing/>
    </w:pPr>
  </w:style>
  <w:style w:type="paragraph" w:customStyle="1" w:styleId="Section">
    <w:name w:val="Section"/>
    <w:basedOn w:val="Normal"/>
    <w:next w:val="Body"/>
    <w:rsid w:val="00BD67B8"/>
    <w:pPr>
      <w:numPr>
        <w:numId w:val="11"/>
      </w:numPr>
      <w:spacing w:after="0" w:line="480" w:lineRule="auto"/>
      <w:jc w:val="center"/>
    </w:pPr>
    <w:rPr>
      <w:rFonts w:ascii="Verdana" w:eastAsia="Times New Roman" w:hAnsi="Verdana" w:cs="Times New Roman"/>
      <w:b/>
      <w:sz w:val="18"/>
      <w:szCs w:val="18"/>
      <w:lang w:eastAsia="zh-CN"/>
    </w:rPr>
  </w:style>
  <w:style w:type="paragraph" w:customStyle="1" w:styleId="Body0">
    <w:name w:val="#Body"/>
    <w:basedOn w:val="Normal"/>
    <w:qFormat/>
    <w:rsid w:val="00BD67B8"/>
    <w:pPr>
      <w:spacing w:after="120" w:line="240" w:lineRule="auto"/>
    </w:pPr>
    <w:rPr>
      <w:rFonts w:ascii="Verdana" w:eastAsia="Times New Roman" w:hAnsi="Verdana" w:cs="Times New Roman"/>
      <w:noProof/>
      <w:sz w:val="16"/>
      <w:szCs w:val="18"/>
      <w:lang w:eastAsia="en-GB"/>
    </w:rPr>
  </w:style>
  <w:style w:type="paragraph" w:customStyle="1" w:styleId="Headline">
    <w:name w:val="#Headline"/>
    <w:basedOn w:val="Body0"/>
    <w:qFormat/>
    <w:rsid w:val="00BD67B8"/>
    <w:pPr>
      <w:spacing w:after="360"/>
    </w:pPr>
    <w:rPr>
      <w:b/>
      <w:bCs/>
      <w:color w:val="5BC5F2"/>
      <w:sz w:val="48"/>
      <w:szCs w:val="48"/>
    </w:rPr>
  </w:style>
  <w:style w:type="paragraph" w:customStyle="1" w:styleId="Heading1">
    <w:name w:val="#Heading 1"/>
    <w:basedOn w:val="Body0"/>
    <w:qFormat/>
    <w:rsid w:val="00BD67B8"/>
    <w:pPr>
      <w:spacing w:before="240"/>
    </w:pPr>
    <w:rPr>
      <w:color w:val="5BC5F2"/>
      <w:sz w:val="28"/>
      <w:szCs w:val="28"/>
    </w:rPr>
  </w:style>
  <w:style w:type="paragraph" w:customStyle="1" w:styleId="Heading2">
    <w:name w:val="#Heading 2"/>
    <w:basedOn w:val="Body0"/>
    <w:qFormat/>
    <w:rsid w:val="00BD67B8"/>
    <w:rPr>
      <w:b/>
      <w:bCs/>
    </w:rPr>
  </w:style>
  <w:style w:type="paragraph" w:customStyle="1" w:styleId="Bullet">
    <w:name w:val="#Bullet"/>
    <w:basedOn w:val="Body0"/>
    <w:qFormat/>
    <w:rsid w:val="00BD67B8"/>
    <w:pPr>
      <w:numPr>
        <w:numId w:val="12"/>
      </w:numPr>
    </w:pPr>
  </w:style>
  <w:style w:type="table" w:customStyle="1" w:styleId="Table1">
    <w:name w:val="#Table 1"/>
    <w:basedOn w:val="TableNormal"/>
    <w:uiPriority w:val="99"/>
    <w:rsid w:val="00BD67B8"/>
    <w:rPr>
      <w:rFonts w:ascii="Verdana" w:hAnsi="Verdana"/>
      <w:sz w:val="18"/>
      <w:szCs w:val="18"/>
    </w:rPr>
    <w:tblPr>
      <w:tblStyleRowBandSize w:val="1"/>
      <w:tblBorders>
        <w:insideH w:val="single" w:sz="4" w:space="0" w:color="5BC5F2"/>
        <w:insideV w:val="single" w:sz="4" w:space="0" w:color="D0D0CE"/>
      </w:tblBorders>
    </w:tblPr>
    <w:tblStylePr w:type="firstRow">
      <w:rPr>
        <w:b/>
        <w:color w:val="FFFFFF" w:themeColor="background1"/>
      </w:rPr>
      <w:tblPr/>
      <w:tcPr>
        <w:tcBorders>
          <w:insideV w:val="single" w:sz="4" w:space="0" w:color="FFFFFF" w:themeColor="background1"/>
        </w:tcBorders>
        <w:shd w:val="clear" w:color="auto" w:fill="5BC5F2"/>
      </w:tcPr>
    </w:tblStylePr>
    <w:tblStylePr w:type="firstCol">
      <w:rPr>
        <w:b/>
        <w:color w:val="FFFFFF" w:themeColor="background1"/>
      </w:rPr>
      <w:tblPr/>
      <w:tcPr>
        <w:tcBorders>
          <w:insideH w:val="single" w:sz="4" w:space="0" w:color="FFFFFF" w:themeColor="background1"/>
          <w:insideV w:val="nil"/>
        </w:tcBorders>
        <w:shd w:val="clear" w:color="auto" w:fill="5BC5F2"/>
      </w:tcPr>
    </w:tblStylePr>
    <w:tblStylePr w:type="band1Horz">
      <w:tblPr/>
      <w:tcPr>
        <w:shd w:val="clear" w:color="auto" w:fill="DDE1E3"/>
      </w:tcPr>
    </w:tblStylePr>
  </w:style>
  <w:style w:type="paragraph" w:customStyle="1" w:styleId="xmsonormal">
    <w:name w:val="xmsonormal"/>
    <w:basedOn w:val="Normal"/>
    <w:rsid w:val="006F2A19"/>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3252">
      <w:bodyDiv w:val="1"/>
      <w:marLeft w:val="0"/>
      <w:marRight w:val="0"/>
      <w:marTop w:val="0"/>
      <w:marBottom w:val="0"/>
      <w:divBdr>
        <w:top w:val="none" w:sz="0" w:space="0" w:color="auto"/>
        <w:left w:val="none" w:sz="0" w:space="0" w:color="auto"/>
        <w:bottom w:val="none" w:sz="0" w:space="0" w:color="auto"/>
        <w:right w:val="none" w:sz="0" w:space="0" w:color="auto"/>
      </w:divBdr>
    </w:div>
    <w:div w:id="328295446">
      <w:bodyDiv w:val="1"/>
      <w:marLeft w:val="0"/>
      <w:marRight w:val="0"/>
      <w:marTop w:val="0"/>
      <w:marBottom w:val="0"/>
      <w:divBdr>
        <w:top w:val="none" w:sz="0" w:space="0" w:color="auto"/>
        <w:left w:val="none" w:sz="0" w:space="0" w:color="auto"/>
        <w:bottom w:val="none" w:sz="0" w:space="0" w:color="auto"/>
        <w:right w:val="none" w:sz="0" w:space="0" w:color="auto"/>
      </w:divBdr>
    </w:div>
    <w:div w:id="20875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3</cp:revision>
  <cp:lastPrinted>2002-05-29T13:42:00Z</cp:lastPrinted>
  <dcterms:created xsi:type="dcterms:W3CDTF">2022-03-09T09:15:00Z</dcterms:created>
  <dcterms:modified xsi:type="dcterms:W3CDTF">2022-03-09T09:16:00Z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20210521170413564</vt:lpwstr>
  </property>
</Properties>
</file>